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Annex B</w:t>
      </w:r>
    </w:p>
    <w:p w:rsidR="00000000" w:rsidDel="00000000" w:rsidP="00000000" w:rsidRDefault="00000000" w:rsidRPr="00000000" w14:paraId="00000002">
      <w:pPr>
        <w:widowControl w:val="0"/>
        <w:jc w:val="center"/>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03">
      <w:pPr>
        <w:pageBreakBefore w:val="0"/>
        <w:widowControl w:val="0"/>
        <w:jc w:val="center"/>
        <w:rPr>
          <w:rFonts w:ascii="Open Sans" w:cs="Open Sans" w:eastAsia="Open Sans" w:hAnsi="Open Sans"/>
          <w:color w:val="263e93"/>
          <w:sz w:val="20"/>
          <w:szCs w:val="20"/>
        </w:rPr>
      </w:pPr>
      <w:r w:rsidDel="00000000" w:rsidR="00000000" w:rsidRPr="00000000">
        <w:rPr>
          <w:rFonts w:ascii="Open Sans" w:cs="Open Sans" w:eastAsia="Open Sans" w:hAnsi="Open Sans"/>
          <w:b w:val="1"/>
          <w:sz w:val="20"/>
          <w:szCs w:val="20"/>
          <w:rtl w:val="0"/>
        </w:rPr>
        <w:t xml:space="preserve">STATEMENT OF THE APPLICANT</w:t>
      </w:r>
      <w:r w:rsidDel="00000000" w:rsidR="00000000" w:rsidRPr="00000000">
        <w:rPr>
          <w:rtl w:val="0"/>
        </w:rPr>
      </w:r>
    </w:p>
    <w:p w:rsidR="00000000" w:rsidDel="00000000" w:rsidP="00000000" w:rsidRDefault="00000000" w:rsidRPr="00000000" w14:paraId="00000004">
      <w:pPr>
        <w:widowControl w:val="0"/>
        <w:jc w:val="center"/>
        <w:rPr>
          <w:rFonts w:ascii="Montserrat Medium" w:cs="Montserrat Medium" w:eastAsia="Montserrat Medium" w:hAnsi="Montserrat Medium"/>
          <w:color w:val="263e93"/>
          <w:sz w:val="26"/>
          <w:szCs w:val="26"/>
        </w:rPr>
      </w:pPr>
      <w:r w:rsidDel="00000000" w:rsidR="00000000" w:rsidRPr="00000000">
        <w:rPr>
          <w:rtl w:val="0"/>
        </w:rPr>
      </w:r>
    </w:p>
    <w:p w:rsidR="00000000" w:rsidDel="00000000" w:rsidP="00000000" w:rsidRDefault="00000000" w:rsidRPr="00000000" w14:paraId="00000005">
      <w:pPr>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w:t>
        <w:tab/>
        <w:t xml:space="preserve">EU INTEGRA Programme</w:t>
      </w:r>
    </w:p>
    <w:p w:rsidR="00000000" w:rsidDel="00000000" w:rsidP="00000000" w:rsidRDefault="00000000" w:rsidRPr="00000000" w14:paraId="00000006">
      <w:pPr>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ab/>
        <w:t xml:space="preserve">Skerlićeva 4</w:t>
      </w:r>
    </w:p>
    <w:p w:rsidR="00000000" w:rsidDel="00000000" w:rsidP="00000000" w:rsidRDefault="00000000" w:rsidRPr="00000000" w14:paraId="00000007">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11 000 Belgrade</w:t>
      </w:r>
    </w:p>
    <w:p w:rsidR="00000000" w:rsidDel="00000000" w:rsidP="00000000" w:rsidRDefault="00000000" w:rsidRPr="00000000" w14:paraId="00000008">
      <w:pPr>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pageBreakBefore w:val="0"/>
        <w:widowControl w:val="0"/>
        <w:jc w:val="both"/>
        <w:rPr>
          <w:rFonts w:ascii="Montserrat Medium" w:cs="Montserrat Medium" w:eastAsia="Montserrat Medium" w:hAnsi="Montserrat Medium"/>
          <w:color w:val="263e93"/>
          <w:sz w:val="26"/>
          <w:szCs w:val="26"/>
        </w:rPr>
      </w:pPr>
      <w:r w:rsidDel="00000000" w:rsidR="00000000" w:rsidRPr="00000000">
        <w:rPr>
          <w:rtl w:val="0"/>
        </w:rPr>
      </w:r>
    </w:p>
    <w:p w:rsidR="00000000" w:rsidDel="00000000" w:rsidP="00000000" w:rsidRDefault="00000000" w:rsidRPr="00000000" w14:paraId="0000000A">
      <w:pPr>
        <w:pageBreakBefore w:val="0"/>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Applicant confirms that all information provided in the Application Form is true and corresponds to the actual state. </w:t>
      </w:r>
    </w:p>
    <w:p w:rsidR="00000000" w:rsidDel="00000000" w:rsidP="00000000" w:rsidRDefault="00000000" w:rsidRPr="00000000" w14:paraId="0000000B">
      <w:pPr>
        <w:pageBreakBefore w:val="0"/>
        <w:widowControl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pageBreakBefore w:val="0"/>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Applicant is not using any incentives on the same grounds from other institutions or donors during the period of implementation of activities.</w:t>
      </w:r>
    </w:p>
    <w:p w:rsidR="00000000" w:rsidDel="00000000" w:rsidP="00000000" w:rsidRDefault="00000000" w:rsidRPr="00000000" w14:paraId="0000000D">
      <w:pPr>
        <w:widowControl w:val="0"/>
        <w:jc w:val="both"/>
        <w:rPr>
          <w:rFonts w:ascii="Montserrat Medium" w:cs="Montserrat Medium" w:eastAsia="Montserrat Medium" w:hAnsi="Montserrat Medium"/>
          <w:color w:val="263e93"/>
          <w:sz w:val="26"/>
          <w:szCs w:val="26"/>
        </w:rPr>
      </w:pPr>
      <w:r w:rsidDel="00000000" w:rsidR="00000000" w:rsidRPr="00000000">
        <w:rPr>
          <w:rtl w:val="0"/>
        </w:rPr>
      </w:r>
    </w:p>
    <w:p w:rsidR="00000000" w:rsidDel="00000000" w:rsidP="00000000" w:rsidRDefault="00000000" w:rsidRPr="00000000" w14:paraId="0000000E">
      <w:pPr>
        <w:pageBreakBefore w:val="0"/>
        <w:widowControl w:val="0"/>
        <w:spacing w:line="240" w:lineRule="auto"/>
        <w:jc w:val="both"/>
        <w:rPr>
          <w:rFonts w:ascii="Calibri" w:cs="Calibri" w:eastAsia="Calibri" w:hAnsi="Calibri"/>
          <w:sz w:val="24"/>
          <w:szCs w:val="24"/>
        </w:rPr>
      </w:pPr>
      <w:r w:rsidDel="00000000" w:rsidR="00000000" w:rsidRPr="00000000">
        <w:rPr>
          <w:rFonts w:ascii="Open Sans" w:cs="Open Sans" w:eastAsia="Open Sans" w:hAnsi="Open Sans"/>
          <w:sz w:val="20"/>
          <w:szCs w:val="20"/>
          <w:rtl w:val="0"/>
        </w:rPr>
        <w:t xml:space="preserve">The Applicant confirms its readiness to cooperate with the EU INTEGRA Programme and participate in capacity building activities aimed at improving its capacities in the field of development planning at the local level and introduction and implementation of an integrated approach to territorial development.</w:t>
      </w:r>
      <w:r w:rsidDel="00000000" w:rsidR="00000000" w:rsidRPr="00000000">
        <w:rPr>
          <w:rtl w:val="0"/>
        </w:rPr>
      </w:r>
    </w:p>
    <w:p w:rsidR="00000000" w:rsidDel="00000000" w:rsidP="00000000" w:rsidRDefault="00000000" w:rsidRPr="00000000" w14:paraId="0000000F">
      <w:pPr>
        <w:widowControl w:val="0"/>
        <w:spacing w:line="24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0">
      <w:pPr>
        <w:pageBreakBefore w:val="0"/>
        <w:widowControl w:val="0"/>
        <w:spacing w:line="240" w:lineRule="auto"/>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 The Applicant, if awarded for technical assistance, agrees to:</w:t>
      </w:r>
    </w:p>
    <w:p w:rsidR="00000000" w:rsidDel="00000000" w:rsidP="00000000" w:rsidRDefault="00000000" w:rsidRPr="00000000" w14:paraId="00000011">
      <w:pPr>
        <w:widowControl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pageBreakBefore w:val="0"/>
        <w:widowControl w:val="0"/>
        <w:numPr>
          <w:ilvl w:val="0"/>
          <w:numId w:val="3"/>
        </w:numPr>
        <w:ind w:left="720" w:hanging="360"/>
        <w:jc w:val="both"/>
        <w:rPr>
          <w:rFonts w:ascii="Calibri" w:cs="Calibri" w:eastAsia="Calibri" w:hAnsi="Calibri"/>
          <w:sz w:val="24"/>
          <w:szCs w:val="24"/>
        </w:rPr>
      </w:pPr>
      <w:r w:rsidDel="00000000" w:rsidR="00000000" w:rsidRPr="00000000">
        <w:rPr>
          <w:rFonts w:ascii="Open Sans" w:cs="Open Sans" w:eastAsia="Open Sans" w:hAnsi="Open Sans"/>
          <w:sz w:val="20"/>
          <w:szCs w:val="20"/>
          <w:rtl w:val="0"/>
        </w:rPr>
        <w:t xml:space="preserve">identify and assign responsibilities to employees with appropriate qualifications, including heads of appropriate city departments and organizational units, to participate in capacity building activities under the EU INTEGRA Programme and in the process of </w:t>
      </w:r>
      <w:r w:rsidDel="00000000" w:rsidR="00000000" w:rsidRPr="00000000">
        <w:rPr>
          <w:rFonts w:ascii="Open Sans" w:cs="Open Sans" w:eastAsia="Open Sans" w:hAnsi="Open Sans"/>
          <w:sz w:val="20"/>
          <w:szCs w:val="20"/>
          <w:highlight w:val="white"/>
          <w:rtl w:val="0"/>
        </w:rPr>
        <w:t xml:space="preserve">Territorial Strategy </w:t>
      </w:r>
      <w:r w:rsidDel="00000000" w:rsidR="00000000" w:rsidRPr="00000000">
        <w:rPr>
          <w:rFonts w:ascii="Open Sans" w:cs="Open Sans" w:eastAsia="Open Sans" w:hAnsi="Open Sans"/>
          <w:sz w:val="20"/>
          <w:szCs w:val="20"/>
          <w:rtl w:val="0"/>
        </w:rPr>
        <w:t xml:space="preserve"> development,</w:t>
      </w:r>
      <w:r w:rsidDel="00000000" w:rsidR="00000000" w:rsidRPr="00000000">
        <w:rPr>
          <w:rtl w:val="0"/>
        </w:rPr>
      </w:r>
    </w:p>
    <w:p w:rsidR="00000000" w:rsidDel="00000000" w:rsidP="00000000" w:rsidRDefault="00000000" w:rsidRPr="00000000" w14:paraId="00000013">
      <w:pPr>
        <w:pageBreakBefore w:val="0"/>
        <w:widowControl w:val="0"/>
        <w:numPr>
          <w:ilvl w:val="0"/>
          <w:numId w:val="1"/>
        </w:numPr>
        <w:ind w:left="720" w:hanging="360"/>
        <w:jc w:val="both"/>
        <w:rPr>
          <w:rFonts w:ascii="Calibri" w:cs="Calibri" w:eastAsia="Calibri" w:hAnsi="Calibri"/>
          <w:sz w:val="24"/>
          <w:szCs w:val="24"/>
        </w:rPr>
      </w:pPr>
      <w:r w:rsidDel="00000000" w:rsidR="00000000" w:rsidRPr="00000000">
        <w:rPr>
          <w:rFonts w:ascii="Open Sans" w:cs="Open Sans" w:eastAsia="Open Sans" w:hAnsi="Open Sans"/>
          <w:sz w:val="20"/>
          <w:szCs w:val="20"/>
          <w:rtl w:val="0"/>
        </w:rPr>
        <w:t xml:space="preserve">ensure the management and development of the territorial strategy for the defined territory in accordance with the duties and responsibilities defined by Memorandum of Understanding (MoU) signed with UNOPS,</w:t>
      </w:r>
      <w:r w:rsidDel="00000000" w:rsidR="00000000" w:rsidRPr="00000000">
        <w:rPr>
          <w:rtl w:val="0"/>
        </w:rPr>
      </w:r>
    </w:p>
    <w:p w:rsidR="00000000" w:rsidDel="00000000" w:rsidP="00000000" w:rsidRDefault="00000000" w:rsidRPr="00000000" w14:paraId="00000014">
      <w:pPr>
        <w:pageBreakBefore w:val="0"/>
        <w:widowControl w:val="0"/>
        <w:numPr>
          <w:ilvl w:val="0"/>
          <w:numId w:val="1"/>
        </w:numPr>
        <w:ind w:left="720" w:hanging="360"/>
        <w:jc w:val="both"/>
        <w:rPr>
          <w:rFonts w:ascii="Calibri" w:cs="Calibri" w:eastAsia="Calibri" w:hAnsi="Calibri"/>
          <w:sz w:val="24"/>
          <w:szCs w:val="24"/>
        </w:rPr>
      </w:pPr>
      <w:r w:rsidDel="00000000" w:rsidR="00000000" w:rsidRPr="00000000">
        <w:rPr>
          <w:rFonts w:ascii="Open Sans" w:cs="Open Sans" w:eastAsia="Open Sans" w:hAnsi="Open Sans"/>
          <w:sz w:val="20"/>
          <w:szCs w:val="20"/>
          <w:rtl w:val="0"/>
        </w:rPr>
        <w:t xml:space="preserve">establish a governance arrangement for the impl</w:t>
      </w:r>
      <w:r w:rsidDel="00000000" w:rsidR="00000000" w:rsidRPr="00000000">
        <w:rPr>
          <w:rFonts w:ascii="Open Sans" w:cs="Open Sans" w:eastAsia="Open Sans" w:hAnsi="Open Sans"/>
          <w:sz w:val="20"/>
          <w:szCs w:val="20"/>
          <w:highlight w:val="white"/>
          <w:rtl w:val="0"/>
        </w:rPr>
        <w:t xml:space="preserve">ementation of the territorial strategy </w:t>
      </w:r>
      <w:r w:rsidDel="00000000" w:rsidR="00000000" w:rsidRPr="00000000">
        <w:rPr>
          <w:rtl w:val="0"/>
        </w:rPr>
      </w:r>
    </w:p>
    <w:p w:rsidR="00000000" w:rsidDel="00000000" w:rsidP="00000000" w:rsidRDefault="00000000" w:rsidRPr="00000000" w14:paraId="00000015">
      <w:pPr>
        <w:pageBreakBefore w:val="0"/>
        <w:widowControl w:val="0"/>
        <w:numPr>
          <w:ilvl w:val="0"/>
          <w:numId w:val="1"/>
        </w:numPr>
        <w:ind w:left="720" w:hanging="360"/>
        <w:jc w:val="both"/>
        <w:rPr>
          <w:rFonts w:ascii="Calibri" w:cs="Calibri" w:eastAsia="Calibri" w:hAnsi="Calibri"/>
          <w:sz w:val="24"/>
          <w:szCs w:val="24"/>
        </w:rPr>
      </w:pPr>
      <w:r w:rsidDel="00000000" w:rsidR="00000000" w:rsidRPr="00000000">
        <w:rPr>
          <w:rFonts w:ascii="Open Sans" w:cs="Open Sans" w:eastAsia="Open Sans" w:hAnsi="Open Sans"/>
          <w:sz w:val="20"/>
          <w:szCs w:val="20"/>
          <w:rtl w:val="0"/>
        </w:rPr>
        <w:t xml:space="preserve">establish a dedicated web page for presenting and promoting  territorial  strategy and providing feedback within the existing local self- government website,</w:t>
      </w:r>
      <w:r w:rsidDel="00000000" w:rsidR="00000000" w:rsidRPr="00000000">
        <w:rPr>
          <w:rtl w:val="0"/>
        </w:rPr>
      </w:r>
    </w:p>
    <w:p w:rsidR="00000000" w:rsidDel="00000000" w:rsidP="00000000" w:rsidRDefault="00000000" w:rsidRPr="00000000" w14:paraId="00000016">
      <w:pPr>
        <w:pageBreakBefore w:val="0"/>
        <w:widowControl w:val="0"/>
        <w:numPr>
          <w:ilvl w:val="0"/>
          <w:numId w:val="1"/>
        </w:numPr>
        <w:ind w:left="720" w:hanging="360"/>
        <w:jc w:val="both"/>
        <w:rPr>
          <w:rFonts w:ascii="Calibri" w:cs="Calibri" w:eastAsia="Calibri" w:hAnsi="Calibri"/>
          <w:sz w:val="24"/>
          <w:szCs w:val="24"/>
        </w:rPr>
      </w:pPr>
      <w:r w:rsidDel="00000000" w:rsidR="00000000" w:rsidRPr="00000000">
        <w:rPr>
          <w:rFonts w:ascii="Open Sans" w:cs="Open Sans" w:eastAsia="Open Sans" w:hAnsi="Open Sans"/>
          <w:sz w:val="20"/>
          <w:szCs w:val="20"/>
          <w:rtl w:val="0"/>
        </w:rPr>
        <w:t xml:space="preserve">enable the use of premises in the city and/or other public institutions buildings  for implementation of the capacity building activities (training, workshops, roundtables, etc.) and </w:t>
      </w:r>
      <w:r w:rsidDel="00000000" w:rsidR="00000000" w:rsidRPr="00000000">
        <w:rPr>
          <w:rFonts w:ascii="Open Sans" w:cs="Open Sans" w:eastAsia="Open Sans" w:hAnsi="Open Sans"/>
          <w:sz w:val="20"/>
          <w:szCs w:val="20"/>
          <w:rtl w:val="0"/>
        </w:rPr>
        <w:t xml:space="preserve">provide refreshments for participants</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17">
      <w:pPr>
        <w:widowControl w:val="0"/>
        <w:numPr>
          <w:ilvl w:val="0"/>
          <w:numId w:val="1"/>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that equal representation of women and men will be taken into consideration when selecting participants for the capacity building activities and when establishing working groups.</w:t>
      </w:r>
    </w:p>
    <w:p w:rsidR="00000000" w:rsidDel="00000000" w:rsidP="00000000" w:rsidRDefault="00000000" w:rsidRPr="00000000" w14:paraId="00000018">
      <w:pPr>
        <w:pageBreakBefore w:val="0"/>
        <w:widowControl w:val="0"/>
        <w:ind w:left="7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pageBreakBefore w:val="0"/>
        <w:widowControl w:val="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white"/>
          <w:rtl w:val="0"/>
        </w:rPr>
        <w:t xml:space="preserve">The Applicant, if awarded for technical assistance, </w:t>
      </w:r>
      <w:r w:rsidDel="00000000" w:rsidR="00000000" w:rsidRPr="00000000">
        <w:rPr>
          <w:rFonts w:ascii="Open Sans" w:cs="Open Sans" w:eastAsia="Open Sans" w:hAnsi="Open Sans"/>
          <w:sz w:val="20"/>
          <w:szCs w:val="20"/>
          <w:rtl w:val="0"/>
        </w:rPr>
        <w:t xml:space="preserve">will be responsible for realisation of the activities which include but are not limited on: </w:t>
      </w:r>
    </w:p>
    <w:p w:rsidR="00000000" w:rsidDel="00000000" w:rsidP="00000000" w:rsidRDefault="00000000" w:rsidRPr="00000000" w14:paraId="0000001A">
      <w:pPr>
        <w:pageBreakBefore w:val="0"/>
        <w:widowControl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pageBreakBefore w:val="0"/>
        <w:widowControl w:val="0"/>
        <w:numPr>
          <w:ilvl w:val="0"/>
          <w:numId w:val="2"/>
        </w:numPr>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issuing the City Assembly Decision on initiating the process of territorial strategy development,</w:t>
      </w:r>
      <w:r w:rsidDel="00000000" w:rsidR="00000000" w:rsidRPr="00000000">
        <w:rPr>
          <w:rtl w:val="0"/>
        </w:rPr>
      </w:r>
    </w:p>
    <w:p w:rsidR="00000000" w:rsidDel="00000000" w:rsidP="00000000" w:rsidRDefault="00000000" w:rsidRPr="00000000" w14:paraId="0000001C">
      <w:pPr>
        <w:pageBreakBefore w:val="0"/>
        <w:widowControl w:val="0"/>
        <w:numPr>
          <w:ilvl w:val="0"/>
          <w:numId w:val="2"/>
        </w:numPr>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establishing an interdisciplinary working group for territorial strategy development. The working group should consist of representatives of the City administration, public companies and institutions, civil society organisations. Equal opportunities and women representation in the working group have to be ensured,</w:t>
      </w:r>
      <w:r w:rsidDel="00000000" w:rsidR="00000000" w:rsidRPr="00000000">
        <w:rPr>
          <w:rtl w:val="0"/>
        </w:rPr>
      </w:r>
    </w:p>
    <w:p w:rsidR="00000000" w:rsidDel="00000000" w:rsidP="00000000" w:rsidRDefault="00000000" w:rsidRPr="00000000" w14:paraId="0000001D">
      <w:pPr>
        <w:pageBreakBefore w:val="0"/>
        <w:widowControl w:val="0"/>
        <w:numPr>
          <w:ilvl w:val="0"/>
          <w:numId w:val="2"/>
        </w:numPr>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highlight w:val="white"/>
          <w:rtl w:val="0"/>
        </w:rPr>
        <w:t xml:space="preserve">establishing a governance structure/arrangement -</w:t>
      </w:r>
      <w:r w:rsidDel="00000000" w:rsidR="00000000" w:rsidRPr="00000000">
        <w:rPr>
          <w:rFonts w:ascii="Open Sans" w:cs="Open Sans" w:eastAsia="Open Sans" w:hAnsi="Open Sans"/>
          <w:sz w:val="20"/>
          <w:szCs w:val="20"/>
          <w:rtl w:val="0"/>
        </w:rPr>
        <w:t xml:space="preserve"> an institutional framework to support the implementation of territorial strategy, </w:t>
      </w:r>
      <w:r w:rsidDel="00000000" w:rsidR="00000000" w:rsidRPr="00000000">
        <w:rPr>
          <w:rtl w:val="0"/>
        </w:rPr>
      </w:r>
    </w:p>
    <w:p w:rsidR="00000000" w:rsidDel="00000000" w:rsidP="00000000" w:rsidRDefault="00000000" w:rsidRPr="00000000" w14:paraId="0000001E">
      <w:pPr>
        <w:pageBreakBefore w:val="0"/>
        <w:widowControl w:val="0"/>
        <w:numPr>
          <w:ilvl w:val="0"/>
          <w:numId w:val="2"/>
        </w:numPr>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conducting a public hearing of the draft of territorial  strategy, and </w:t>
      </w:r>
      <w:r w:rsidDel="00000000" w:rsidR="00000000" w:rsidRPr="00000000">
        <w:rPr>
          <w:rtl w:val="0"/>
        </w:rPr>
      </w:r>
    </w:p>
    <w:p w:rsidR="00000000" w:rsidDel="00000000" w:rsidP="00000000" w:rsidRDefault="00000000" w:rsidRPr="00000000" w14:paraId="0000001F">
      <w:pPr>
        <w:pageBreakBefore w:val="0"/>
        <w:widowControl w:val="0"/>
        <w:numPr>
          <w:ilvl w:val="0"/>
          <w:numId w:val="2"/>
        </w:numPr>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issuing the City Assembly Decision on the adoption of territorial strategy.</w:t>
      </w:r>
      <w:r w:rsidDel="00000000" w:rsidR="00000000" w:rsidRPr="00000000">
        <w:rPr>
          <w:rtl w:val="0"/>
        </w:rPr>
      </w:r>
    </w:p>
    <w:p w:rsidR="00000000" w:rsidDel="00000000" w:rsidP="00000000" w:rsidRDefault="00000000" w:rsidRPr="00000000" w14:paraId="00000020">
      <w:pPr>
        <w:pageBreakBefore w:val="0"/>
        <w:widowControl w:val="0"/>
        <w:ind w:left="7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Applicant understands that the EU INTEGRA Programme is not obligated to award every submitted application. </w:t>
      </w:r>
      <w:r w:rsidDel="00000000" w:rsidR="00000000" w:rsidRPr="00000000">
        <w:rPr>
          <w:rFonts w:ascii="Open Sans" w:cs="Open Sans" w:eastAsia="Open Sans" w:hAnsi="Open Sans"/>
          <w:sz w:val="20"/>
          <w:szCs w:val="20"/>
          <w:highlight w:val="white"/>
          <w:rtl w:val="0"/>
        </w:rPr>
        <w:t xml:space="preserve">Only positively assessed applications will be awarded for technical assistance.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Applicant understands that only awarded beneficiaries will sign the Memorandum of Understanding (MoU) with UNOPS.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During the implementation, the Applicant will take all steps prescribed in the EU INTEGRA Communication Guidelines to promote the European Union (EU) financial contribution to the Action as it is stated under section 6. Visibility.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keepLines w:val="1"/>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29">
      <w:pPr>
        <w:keepLines w:val="1"/>
        <w:pageBreakBefore w:val="0"/>
        <w:spacing w:line="240" w:lineRule="auto"/>
        <w:jc w:val="center"/>
        <w:rPr>
          <w:rFonts w:ascii="Open Sans" w:cs="Open Sans" w:eastAsia="Open Sans" w:hAnsi="Open Sans"/>
          <w:i w:val="1"/>
          <w:sz w:val="16"/>
          <w:szCs w:val="16"/>
        </w:rPr>
      </w:pPr>
      <w:r w:rsidDel="00000000" w:rsidR="00000000" w:rsidRPr="00000000">
        <w:rPr>
          <w:rFonts w:ascii="Calibri" w:cs="Calibri" w:eastAsia="Calibri" w:hAnsi="Calibri"/>
          <w:sz w:val="20"/>
          <w:szCs w:val="20"/>
          <w:rtl w:val="0"/>
        </w:rPr>
        <w:t xml:space="preserve">                                                                                                    </w:t>
      </w:r>
      <w:r w:rsidDel="00000000" w:rsidR="00000000" w:rsidRPr="00000000">
        <w:rPr>
          <w:rFonts w:ascii="Open Sans" w:cs="Open Sans" w:eastAsia="Open Sans" w:hAnsi="Open Sans"/>
          <w:i w:val="1"/>
          <w:sz w:val="16"/>
          <w:szCs w:val="16"/>
          <w:rtl w:val="0"/>
        </w:rPr>
        <w:t xml:space="preserve">Full name of the Applicant's authorised person</w:t>
      </w:r>
    </w:p>
    <w:p w:rsidR="00000000" w:rsidDel="00000000" w:rsidP="00000000" w:rsidRDefault="00000000" w:rsidRPr="00000000" w14:paraId="0000002A">
      <w:pPr>
        <w:keepLines w:val="1"/>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jc w:val="right"/>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2C">
      <w:pPr>
        <w:jc w:val="cente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Open Sans" w:cs="Open Sans" w:eastAsia="Open Sans" w:hAnsi="Open Sans"/>
          <w:i w:val="1"/>
          <w:sz w:val="16"/>
          <w:szCs w:val="16"/>
          <w:rtl w:val="0"/>
        </w:rPr>
        <w:t xml:space="preserve">Signature</w:t>
      </w:r>
      <w:r w:rsidDel="00000000" w:rsidR="00000000" w:rsidRPr="00000000">
        <w:rPr>
          <w:rtl w:val="0"/>
        </w:rPr>
      </w:r>
    </w:p>
    <w:p w:rsidR="00000000" w:rsidDel="00000000" w:rsidP="00000000" w:rsidRDefault="00000000" w:rsidRPr="00000000" w14:paraId="0000002D">
      <w:pPr>
        <w:jc w:val="right"/>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2E">
      <w:pPr>
        <w:jc w:val="center"/>
        <w:rPr>
          <w:rFonts w:ascii="Open Sans" w:cs="Open Sans" w:eastAsia="Open Sans" w:hAnsi="Open Sans"/>
          <w:i w:val="1"/>
          <w:color w:val="263e93"/>
          <w:sz w:val="20"/>
          <w:szCs w:val="20"/>
        </w:rPr>
      </w:pPr>
      <w:r w:rsidDel="00000000" w:rsidR="00000000" w:rsidRPr="00000000">
        <w:rPr>
          <w:rFonts w:ascii="Calibri" w:cs="Calibri" w:eastAsia="Calibri" w:hAnsi="Calibri"/>
          <w:rtl w:val="0"/>
        </w:rPr>
        <w:t xml:space="preserve">                                                   </w:t>
      </w:r>
      <w:r w:rsidDel="00000000" w:rsidR="00000000" w:rsidRPr="00000000">
        <w:rPr>
          <w:rFonts w:ascii="Open Sans" w:cs="Open Sans" w:eastAsia="Open Sans" w:hAnsi="Open Sans"/>
          <w:i w:val="1"/>
          <w:sz w:val="16"/>
          <w:szCs w:val="16"/>
          <w:rtl w:val="0"/>
        </w:rPr>
        <w:t xml:space="preserve">Date and stamp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3akqRgBA24trvNh7PY4m6XgoXA==">CgMxLjA4AGonChRzdWdnZXN0Lm01eDNidXkwdGNqYhIPVmlrdG9yIFZFTEpPVklDciExRmZaZ0xLYzZ1RV9tU1FjVGwyek1ueDlkQmx3Wm9aSzg=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