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Прилог 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Р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И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Ј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В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</w:t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sr-CS"/>
        </w:rPr>
      </w:pPr>
      <w:r>
        <w:rPr>
          <w:rFonts w:cs="Times New Roman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1. ОСНОВНИ ПОДАЦИ О ПРИВРЕДНОМ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СУБЈЕКТУ</w:t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2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7"/>
        <w:gridCol w:w="1494"/>
        <w:gridCol w:w="2856"/>
        <w:gridCol w:w="4252"/>
      </w:tblGrid>
      <w:tr>
        <w:trPr>
          <w:trHeight w:val="710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1.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Пун назив привредног 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субјекта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0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2.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Матични број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93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3.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Порески идентификациони број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7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4.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Седиште </w:t>
            </w: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Место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pacing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Поштански број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5.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Адреса за слање поште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(навести и поштански број)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6.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Број телефона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7.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Факс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8.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Електронска пошта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eastAsia="Times New Roman" w:cs="Times New Roman"/>
                <w:b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454" w:hRule="atLeast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9.</w:t>
            </w:r>
          </w:p>
        </w:tc>
        <w:tc>
          <w:tcPr>
            <w:tcW w:w="43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Интернет адреса (уколико постоји)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25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>2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Latn-RS"/>
        </w:rPr>
        <w:t xml:space="preserve">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ПОДАЦИ О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ЗАКОНСКОМ ЗАСТУПНИКУ</w:t>
      </w:r>
    </w:p>
    <w:tbl>
      <w:tblPr>
        <w:tblW w:w="935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9"/>
        <w:gridCol w:w="4033"/>
        <w:gridCol w:w="4504"/>
      </w:tblGrid>
      <w:tr>
        <w:trPr>
          <w:trHeight w:val="568" w:hRule="atLeast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1.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2.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3.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7" w:hRule="atLeast"/>
        </w:trPr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4.</w:t>
            </w:r>
          </w:p>
        </w:tc>
        <w:tc>
          <w:tcPr>
            <w:tcW w:w="4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right" w:pos="878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pacing w:val="-2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pacing w:val="-2"/>
          <w:sz w:val="24"/>
          <w:szCs w:val="24"/>
          <w:lang w:val="sr-C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sr-RS"/>
        </w:rPr>
        <w:t>3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sr-Latn-RS"/>
        </w:rPr>
        <w:t xml:space="preserve">.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sr-RS"/>
        </w:rPr>
        <w:t xml:space="preserve">ВРСТЕ МЕРА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sr-RS"/>
        </w:rPr>
        <w:t>Испред појединачне мере уписати Х. Могуће је конкурисати за више мера)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tbl>
      <w:tblPr>
        <w:tblStyle w:val="TableGrid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7910"/>
        <w:gridCol w:w="984"/>
      </w:tblGrid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sr-CS"/>
              </w:rPr>
              <w:t>1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З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  <w:t xml:space="preserve">аменa спољних прозора и врата и других транспарентних елемената термичког омотача.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sr-RS"/>
              </w:rPr>
              <w:t>2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Постављања термичке изолације спољних зидова, подова на тлу и осталих делова термичког омотача према негрејаном простору и 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 xml:space="preserve">Постављање термичке изолације испод кровног покривача или таванице и израда техничке документације у складу са Прилогом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RS"/>
              </w:rPr>
              <w:t>4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 xml:space="preserve">Замена постојећег грејача простора на чврсто гориво (котао или пећ) ефикаснијим (котао на_гас) 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sr-RS"/>
              </w:rPr>
              <w:t>5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CS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амена постојећег грејача простора на чврсто гориво (котао или пећ) ефикаснијим (котао на биомасу)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sr-RS"/>
              </w:rPr>
              <w:t>6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Уградња топлотних пумпи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sr-RS"/>
              </w:rPr>
              <w:t>7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Замена постојеће или уградња нове цевне мреже, грејних тела и пратећег прибора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00" w:hRule="atLeast"/>
        </w:trPr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RS"/>
              </w:rPr>
              <w:t>8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456" w:type="dxa"/>
            <w:tcBorders/>
            <w:shd w:color="auto" w:fill="FFFFFF" w:themeFill="background1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Cs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sz w:val="24"/>
                <w:szCs w:val="24"/>
                <w:lang w:val="sr-RS"/>
              </w:rPr>
              <w:t>9</w:t>
            </w:r>
          </w:p>
        </w:tc>
        <w:tc>
          <w:tcPr>
            <w:tcW w:w="79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sr-RS"/>
        </w:rPr>
        <w:t>4. ЦЕНОВНИ ПРЕГЛЕД ПРОИЗВОДА И УСЛУГА</w:t>
      </w:r>
    </w:p>
    <w:tbl>
      <w:tblPr>
        <w:tblStyle w:val="TableGrid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19"/>
        <w:gridCol w:w="3544"/>
      </w:tblGrid>
      <w:tr>
        <w:trPr>
          <w:trHeight w:val="343" w:hRule="atLeast"/>
        </w:trPr>
        <w:tc>
          <w:tcPr>
            <w:tcW w:w="5919" w:type="dxa"/>
            <w:tcBorders/>
            <w:shd w:color="auto" w:fill="D0CECE" w:themeFill="background2" w:themeFillShade="e6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Назив производа и услуга у оквиру мере/мера пријављених у тачки 3.</w:t>
            </w:r>
          </w:p>
        </w:tc>
        <w:tc>
          <w:tcPr>
            <w:tcW w:w="3544" w:type="dxa"/>
            <w:tcBorders/>
            <w:shd w:color="auto" w:fill="D0CECE" w:themeFill="background2" w:themeFillShade="e6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sr-CS"/>
              </w:rPr>
              <w:t>Цена производа и услуга</w:t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343" w:hRule="atLeast"/>
        </w:trPr>
        <w:tc>
          <w:tcPr>
            <w:tcW w:w="5919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3544" w:type="dxa"/>
            <w:tcBorders/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cs="Times New Roman"/>
        <w:b/>
        <w:b/>
        <w:sz w:val="24"/>
        <w:szCs w:val="24"/>
        <w:lang w:val="sr-CS"/>
      </w:rPr>
    </w:pPr>
    <w:r>
      <w:rPr>
        <w:rFonts w:cs="Times New Roman" w:ascii="Times New Roman" w:hAnsi="Times New Roman"/>
        <w:b/>
        <w:sz w:val="24"/>
        <w:szCs w:val="24"/>
        <w:lang w:val="sr-CS"/>
      </w:rPr>
      <w:t>„</w:t>
    </w:r>
    <w:r>
      <w:rPr>
        <w:rFonts w:cs="Times New Roman" w:ascii="Times New Roman" w:hAnsi="Times New Roman"/>
        <w:b/>
        <w:sz w:val="24"/>
        <w:szCs w:val="24"/>
        <w:lang w:val="sr-CS"/>
      </w:rPr>
      <w:t>Чиста енергија и енергетска ефикасности за грађане у Србији“</w:t>
    </w:r>
  </w:p>
  <w:p>
    <w:pPr>
      <w:pStyle w:val="Header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7313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qFormat/>
    <w:rsid w:val="001c4675"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qFormat/>
    <w:rsid w:val="008a6f6c"/>
    <w:rPr>
      <w:sz w:val="20"/>
      <w:szCs w:val="20"/>
      <w:lang w:val="en-GB"/>
    </w:rPr>
  </w:style>
  <w:style w:type="character" w:styleId="InternetLink">
    <w:name w:val="Internet Link"/>
    <w:basedOn w:val="DefaultParagraphFont"/>
    <w:uiPriority w:val="99"/>
    <w:unhideWhenUsed/>
    <w:rsid w:val="008a6f6c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2549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452549"/>
    <w:rPr>
      <w:rFonts w:ascii="Times New Roman" w:hAnsi="Times New Roman" w:eastAsia="Times New Roman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946562"/>
    <w:rPr>
      <w:color w:val="605E5C"/>
      <w:shd w:fill="E1DFDD" w:val="clear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86207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15884"/>
    <w:rPr>
      <w:rFonts w:ascii="Segoe UI" w:hAnsi="Segoe UI" w:cs="Segoe UI"/>
      <w:sz w:val="18"/>
      <w:szCs w:val="18"/>
      <w:lang w:val="en-GB"/>
    </w:rPr>
  </w:style>
  <w:style w:type="character" w:styleId="Markedcontent" w:customStyle="1">
    <w:name w:val="markedcontent"/>
    <w:basedOn w:val="DefaultParagraphFont"/>
    <w:qFormat/>
    <w:rsid w:val="006c694e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a12dc"/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a12dc"/>
    <w:rPr>
      <w:lang w:val="en-GB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alibri"/>
      <w:b w:val="false"/>
      <w:bCs w:val="false"/>
      <w:color w:val="FF000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2"/>
      <w:szCs w:val="22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imes New Roman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b w:val="false"/>
      <w:bCs w:val="false"/>
      <w:color w:val="FF0000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b w:val="false"/>
      <w:bCs w:val="false"/>
      <w:color w:val="FF000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b w:val="false"/>
      <w:bCs w:val="false"/>
      <w:color w:val="FF000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eastAsia="Calibri" w:cs="Times New Roman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eastAsia="Times New Roman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eastAsia="Times New Roman" w:cs="Times New Roman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sz w:val="24"/>
      <w:szCs w:val="24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4545"/>
    <w:pPr>
      <w:spacing w:before="0" w:after="16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unhideWhenUsed/>
    <w:qFormat/>
    <w:rsid w:val="00db4545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nhideWhenUsed/>
    <w:qFormat/>
    <w:rsid w:val="008a6f6c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8a6f6c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sr-Latn-RS" w:eastAsia="en-US" w:bidi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45254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862072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588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474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Revision">
    <w:name w:val="Revision"/>
    <w:uiPriority w:val="99"/>
    <w:semiHidden/>
    <w:qFormat/>
    <w:rsid w:val="009076a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725C9-6985-4A01-9113-FF8C940E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LibreOffice/5.2.7.2$Windows_x86 LibreOffice_project/2b7f1e640c46ceb28adf43ee075a6e8b8439ed10</Application>
  <Pages>2</Pages>
  <Words>301</Words>
  <Characters>1679</Characters>
  <CharactersWithSpaces>1934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2023-09-11T10:29:00Z</dcterms:created>
  <dc:creator>HP EliteBook 840 G3</dc:creator>
  <dc:description/>
  <dc:language>en-US</dc:language>
  <cp:lastModifiedBy/>
  <cp:lastPrinted>2022-04-13T17:00:00Z</cp:lastPrinted>
  <dcterms:modified xsi:type="dcterms:W3CDTF">2023-09-27T08:48:29Z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0x0101007DB9E172C7CBD642AF3D7FF896E05E39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