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val="sr-R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sr-RS"/>
        </w:rPr>
        <w:t>К О Н Т Р О Л Н А   Л И С Т А  З 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val="sr-RS"/>
        </w:rPr>
      </w:pPr>
      <w:r>
        <w:rPr>
          <w:rFonts w:ascii="Times New Roman" w:hAnsi="Times New Roman"/>
          <w:b/>
          <w:sz w:val="28"/>
          <w:szCs w:val="28"/>
          <w:lang w:val="sr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RS"/>
        </w:rPr>
        <w:t>О Т П А Д Н А   В О З И Л 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tbl>
      <w:tblPr>
        <w:tblW w:w="10137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8" w:space="0" w:color="00000A"/>
          <w:right w:val="single" w:sz="12" w:space="0" w:color="00000A"/>
          <w:insideH w:val="single" w:sz="8" w:space="0" w:color="00000A"/>
          <w:insideV w:val="single" w:sz="12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67"/>
        <w:gridCol w:w="6669"/>
      </w:tblGrid>
      <w:tr>
        <w:trPr>
          <w:trHeight w:val="288" w:hRule="atLeast"/>
        </w:trPr>
        <w:tc>
          <w:tcPr>
            <w:tcW w:w="1013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BFBFB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val="sr-RS"/>
              </w:rPr>
              <w:t>ИНФОРМАЦИЈЕ О ПОСТРОЈЕЊУ</w:t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RS"/>
              </w:rPr>
              <w:t xml:space="preserve">(улица и број)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trike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/>
              </w:rPr>
              <w:t>Порески идентификациони број (ПИБ)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CS"/>
              </w:rPr>
              <w:t>у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RS"/>
              </w:rPr>
              <w:t>Назив радног места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</w:tbl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tbl>
      <w:tblPr>
        <w:tblW w:w="10265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687"/>
        <w:gridCol w:w="1809"/>
        <w:gridCol w:w="1769"/>
      </w:tblGrid>
      <w:tr>
        <w:trPr>
          <w:trHeight w:val="237" w:hRule="atLeast"/>
        </w:trPr>
        <w:tc>
          <w:tcPr>
            <w:tcW w:w="1026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BFBFB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sr-RS"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val="sr-RS" w:eastAsia="ru-RU"/>
              </w:rPr>
              <w:t>1. ПОДАЦИ ОД ЗНАЧАЈА ЗА СТАТУС  СУБЈЕКТА КОЈИ УПРАВЉА СКЛАДИШТЕМ</w:t>
            </w:r>
          </w:p>
        </w:tc>
      </w:tr>
      <w:tr>
        <w:trPr>
          <w:trHeight w:val="275" w:hRule="atLeast"/>
        </w:trPr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rmal"/>
              <w:spacing w:before="0" w:after="200"/>
              <w:ind w:left="34" w:hanging="34"/>
              <w:contextualSpacing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1 Да ли је оператер који управља отпадним возилима уписан у основни регистар?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spacing w:before="0" w:after="200"/>
              <w:ind w:left="34" w:right="248" w:hanging="34"/>
              <w:jc w:val="center"/>
              <w:rPr>
                <w:lang w:val="sr-RS"/>
              </w:rPr>
            </w:pPr>
            <w:r>
              <w:rPr>
                <w:rFonts w:ascii="Webdings" w:hAnsi="Webdings"/>
              </w:rPr>
              <w:t>?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spacing w:before="0" w:after="200"/>
              <w:ind w:right="248" w:hanging="0"/>
              <w:jc w:val="center"/>
              <w:rPr>
                <w:lang w:val="sr-RS"/>
              </w:rPr>
            </w:pPr>
            <w:r>
              <w:rPr>
                <w:rFonts w:ascii="Webdings" w:hAnsi="Webdings"/>
              </w:rPr>
              <w:t>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*</w:t>
            </w:r>
          </w:p>
        </w:tc>
      </w:tr>
      <w:tr>
        <w:trPr>
          <w:trHeight w:val="661" w:hRule="atLeast"/>
        </w:trPr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2. Да ли је оператер прибавио дозволу </w:t>
            </w:r>
            <w:r>
              <w:rPr>
                <w:rFonts w:ascii="Times New Roman" w:hAnsi="Times New Roman"/>
                <w:sz w:val="24"/>
                <w:szCs w:val="24"/>
              </w:rPr>
              <w:t>надлежног органа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?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spacing w:before="0" w:after="200"/>
              <w:ind w:right="248" w:hanging="0"/>
              <w:jc w:val="center"/>
              <w:rPr>
                <w:lang w:val="sr-RS"/>
              </w:rPr>
            </w:pPr>
            <w:r>
              <w:rPr>
                <w:rFonts w:ascii="Webdings" w:hAnsi="Webdings"/>
              </w:rPr>
              <w:t>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spacing w:before="0" w:after="200"/>
              <w:ind w:left="34" w:right="248" w:hanging="34"/>
              <w:jc w:val="center"/>
              <w:rPr>
                <w:lang w:val="sr-RS"/>
              </w:rPr>
            </w:pPr>
            <w:r>
              <w:rPr>
                <w:rFonts w:ascii="Webdings" w:hAnsi="Webdings"/>
              </w:rPr>
              <w:t>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*</w:t>
            </w:r>
          </w:p>
        </w:tc>
      </w:tr>
      <w:tr>
        <w:trPr>
          <w:trHeight w:val="796" w:hRule="atLeast"/>
        </w:trPr>
        <w:tc>
          <w:tcPr>
            <w:tcW w:w="102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*</w:t>
            </w:r>
            <w:r>
              <w:rPr>
                <w:rFonts w:ascii="Times New Roman" w:hAnsi="Times New Roman"/>
                <w:b/>
                <w:lang w:val="sr-RS"/>
              </w:rPr>
              <w:t xml:space="preserve"> објекат за који су одговори на питања под тач. 1 и тач. 2 негативни,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tbl>
      <w:tblPr>
        <w:tblW w:w="10164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4"/>
        <w:gridCol w:w="6379"/>
        <w:gridCol w:w="3241"/>
      </w:tblGrid>
      <w:tr>
        <w:trPr>
          <w:trHeight w:val="476" w:hRule="atLeast"/>
        </w:trPr>
        <w:tc>
          <w:tcPr>
            <w:tcW w:w="1016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S"/>
              </w:rPr>
              <w:t>ОТПАДНА ВОЗИЛА</w:t>
            </w:r>
          </w:p>
        </w:tc>
      </w:tr>
      <w:tr>
        <w:trPr>
          <w:trHeight w:val="330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Обављање делатности у области управљања отпадним возилима: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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Сакупљање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Транспорт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Складиштење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Третман</w:t>
            </w:r>
          </w:p>
        </w:tc>
      </w:tr>
      <w:tr>
        <w:trPr>
          <w:trHeight w:val="207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330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Лице које поседује дозволу за сакупљање, отпад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сакупља од: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Власника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Јединице локалне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самоуправе</w:t>
            </w:r>
          </w:p>
        </w:tc>
      </w:tr>
      <w:tr>
        <w:trPr>
          <w:trHeight w:val="207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Отпадно возило је предато у целини, односно са свим основним саставним деловима моторног возила: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Не                             (0) 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330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За отпадно возило попуњен је Документ о кретању опасног отпада: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                             (2)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Не                             (0) </w:t>
            </w:r>
          </w:p>
        </w:tc>
      </w:tr>
      <w:tr>
        <w:trPr>
          <w:trHeight w:val="207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5.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Уз отпадно возило, сакупљачу се предаје копија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саобраћајне дозволе: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484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Ако је отпадно возило непознатог власника, уз отпадно возило сакупљачу постоји записник комуналне инспекције: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Не                            (0)      </w:t>
            </w:r>
          </w:p>
        </w:tc>
      </w:tr>
      <w:tr>
        <w:trPr>
          <w:trHeight w:val="62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7.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Ако је отпадно возило настало у саобраћајној незгоди, уз отпадно возило сакупљачу се предаје записник о увиђају саобраћајне незгоде: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(0)</w:t>
            </w:r>
          </w:p>
        </w:tc>
      </w:tr>
      <w:tr>
        <w:trPr>
          <w:trHeight w:val="693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53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8.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Лице које врши сакупљање отпадних возила поседује опрему за сакупљање, утовар и истовар отпада: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                             (2)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Не                             (0) </w:t>
            </w:r>
          </w:p>
        </w:tc>
      </w:tr>
      <w:tr>
        <w:trPr>
          <w:trHeight w:val="786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822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bookmarkStart w:id="1" w:name="_Toc178427149"/>
            <w:bookmarkEnd w:id="1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9.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Лице које врши сакупљање отпадних возила поседује обезбеђено складиште за сакупљена отпадна возила: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Не                             (0)         </w:t>
            </w:r>
          </w:p>
        </w:tc>
      </w:tr>
      <w:tr>
        <w:trPr>
          <w:trHeight w:val="423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524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10.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Лице које врши сакупљање отпадних возила преузета возила предаје оператеру који поседује дозволу за складиштење и/или третман отпадних возила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                              (2)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 (0)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ије применљиво</w:t>
            </w:r>
          </w:p>
        </w:tc>
      </w:tr>
      <w:tr>
        <w:trPr>
          <w:trHeight w:val="556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422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11.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Лице које врши сакупљање отпадних возила поседује уговор о предаји отпада закључен са оператером који поседује дозволу за складиштење и/или третман отпадних возила: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 (0)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ије применљиво</w:t>
            </w:r>
          </w:p>
        </w:tc>
      </w:tr>
      <w:tr>
        <w:trPr>
          <w:trHeight w:val="174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65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12.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Лице које врши сакупљање отпадних возила попуњава Документ о кретању опасног отпада: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 (0)</w:t>
            </w:r>
          </w:p>
        </w:tc>
      </w:tr>
      <w:tr>
        <w:trPr>
          <w:trHeight w:val="540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13.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Лице које врши сакупљање отпадних возила врши најаву кретања отпада надлежном министарству: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                               (2)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  (0)</w:t>
            </w:r>
          </w:p>
        </w:tc>
      </w:tr>
      <w:tr>
        <w:trPr>
          <w:trHeight w:val="528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14.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Лице које врши сакупљање отпадних возила преузета возила предаје уз копију саобраћајне дозволе, записник комуналне инспекције, односно записник о увиђају саобраћајне незгоде: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15.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Лице које поседује дозволу за сакупљање, води евиденцију о сакупљеним и предатим количинама отпадних возила: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16.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Транспорт отпадних возила и њихових делова за које постоји могућност неконтролисаног испуштања течности  или расипања делова врши се у складу са прописима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којима се уређује транспорт опасних материја: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                             (2)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17.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Транспорт отпадних возила и њихових делова за које постоји могућност неконтролисаног испуштања течности  или расипања делова врши се у складу са издатом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дозволом за транспорт отпада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                             (2)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Не                             (0) 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18.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Отпадна возила и њихови делови транспортују се на одредиште које је одредио пошиљалац: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19.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Складиштење се врши  са условима прописаним дозволом за управљање отпада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                               (2)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958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20.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Складиште је: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Са стабилном и непропусном подлогом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Са опремом за сакупљање просутих течности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Са обезбеђеним средствима за одмашћивање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Са одговарајућом  заштитом од атмосферских утицаја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Са системом за спречавање настајања удеса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Са системом за потпуни контролисани прихват зауљене атмосферске воде са свих површина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Са уграђеним сепаратором масти и уља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Са системом за заштиту од пожара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Да-2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Не-0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Да-2                  </w:t>
            </w: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Не-0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Да-2                  </w:t>
            </w: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Не-0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Да-2                  </w:t>
            </w: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Не-0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Да-2                  </w:t>
            </w: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Не-0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Да-2                  </w:t>
            </w: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Не-0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Да-2                  </w:t>
            </w: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Не-0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Да-2                  </w:t>
            </w: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Не-0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21.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Отпадна возила складиштена су на начин да се не оштете делови моторних возила који садрже течности или делови који се могу поново употребити: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22.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Сакупљени делови отпадних возила посебно се складиште: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Не                                (0)                                        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23.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Сакупљени делови отпадних возила обележени су у складу са законом и подзаконским актима: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Не                                (0)     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24.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Лице које врши складиштење и/или третман отпадних возила, приликом преузимања отпадних возила попуњава Документ о кретању опасног отпада: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25.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Лице које врши третман отпадних возила доставља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потврду о расклапању отпадног возила уз регистарску таблицу органу надлежном за регистрацију возила, на прописаном обрасцу: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Не                               (0)    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26.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Постројење за третман отпадних возила има место где се врши расклапање?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                               (2)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  (0)</w:t>
            </w:r>
          </w:p>
        </w:tc>
      </w:tr>
      <w:tr>
        <w:trPr>
          <w:trHeight w:val="440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70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BFBFBF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Ако је на претходно питање одговор "</w:t>
            </w:r>
            <w:r>
              <w:rPr>
                <w:rFonts w:ascii="Times New Roman" w:hAnsi="Times New Roman"/>
                <w:i/>
                <w:sz w:val="24"/>
                <w:szCs w:val="24"/>
                <w:lang w:val="sr-RS"/>
              </w:rPr>
              <w:t>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" одговорити на следећ</w:t>
            </w:r>
            <w:r>
              <w:rPr>
                <w:rFonts w:ascii="Times New Roman" w:hAnsi="Times New Roman"/>
                <w:i/>
                <w:sz w:val="24"/>
                <w:szCs w:val="24"/>
                <w:lang w:val="sr-RS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питањ</w:t>
            </w:r>
            <w:r>
              <w:rPr>
                <w:rFonts w:ascii="Times New Roman" w:hAnsi="Times New Roman"/>
                <w:i/>
                <w:sz w:val="24"/>
                <w:szCs w:val="24"/>
                <w:lang w:val="sr-RS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27.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Место где се врши расклапање отпадних возила поседује: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Непропусну подлогу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Опрему за сакупљање просутих течности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Сепаратор уља и масти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Средства за одмашћивање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Да-2                        </w:t>
            </w: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Не-0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Да-2                       </w:t>
            </w: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Не-0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Да-2                       </w:t>
            </w: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Не-0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Да-2                       </w:t>
            </w: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Не-0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28.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Постројење за третман отпадних возила има одговарајуће посуде са поклопцима за чување акумулатора, филтера и кондензатора који садрже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PCB/PCT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29.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Постројење  за третман отпадних возила има уређај за пречишћавање отпадних вода, укључујући атмосферску канализацију?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                             (2)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Не                             (0)     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30.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Постројење  за третман отпадних возила има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одговарајуће складиште за отпадне гуме: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31.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Постројење  за третман отпадних возила има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машину за сечење и уситњавање металног отпада: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                                 (2)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32.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Постројење  за третман отпадних возила има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машину за пресовање металног отпада: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33.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Постројење за третман отпадних возила има систем за заштиту од пожара и експлозија у складу са посебним прописима: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     (0)</w:t>
            </w:r>
          </w:p>
        </w:tc>
      </w:tr>
      <w:tr>
        <w:trPr>
          <w:trHeight w:val="38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34.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Лице које врши третман отпадних возила врши издвајање опасних материја и компоненти из отпадног возила: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                                   (2)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    (0)</w:t>
            </w:r>
          </w:p>
        </w:tc>
      </w:tr>
      <w:tr>
        <w:trPr>
          <w:trHeight w:val="450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35.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Из отпадних возила издваја се: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Гориво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Моторно уље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Уље мењача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Уље из диференцијала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Хидраулично уље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Течност из хладњака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Антифриз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Уље из система за кочење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Киселина из акумулатора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Течност из клима уређаја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Остале течности и опасне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материје</w:t>
            </w:r>
          </w:p>
        </w:tc>
      </w:tr>
      <w:tr>
        <w:trPr>
          <w:trHeight w:val="85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65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36.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Издвојене течности из тачке 35. одвојено се складиште?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Не                                (0) </w:t>
            </w:r>
          </w:p>
        </w:tc>
      </w:tr>
      <w:tr>
        <w:trPr>
          <w:trHeight w:val="350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65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37.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Након издвајања опасног отпад, лице које врши третман отпадних возила обезбеђује класификацију  отпада/опасног отпада ради даљег третмана или одлагања: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                                (2)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38.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Врши се обележавање насталог отпада/опасног отпада у складу са прописима: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    (0)</w:t>
            </w:r>
          </w:p>
        </w:tc>
      </w:tr>
      <w:tr>
        <w:trPr>
          <w:trHeight w:val="85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39.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Лице које врши третман отпадних возила  предаје настали отпад/опасан отпад овлашћеном оператеру: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40.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Лице које врши третман, из отпадног возила издваја неоштећене делове отпадног возила који се могу поново употребити: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                                  (2)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41.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Резервни делови одлажу се у затвореном складишту?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42.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Замашћени делови складиште се на непропусној подлози у затвореним контејнерима?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43.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Ако се делови отпадног возила који садрже течности поново употребљавају, врши се издвајање течности: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44.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се уређаји од којих зависи техничка исправност моторних возила продају се као резервни делови?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                               (0)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Не                               (2)   </w:t>
            </w:r>
          </w:p>
        </w:tc>
      </w:tr>
      <w:tr>
        <w:trPr>
          <w:trHeight w:val="408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tbl>
      <w:tblPr>
        <w:tblpPr w:bottomFromText="0" w:horzAnchor="margin" w:leftFromText="180" w:rightFromText="180" w:tblpX="0" w:tblpXSpec="center" w:tblpY="0" w:tblpYSpec="inside" w:topFromText="0" w:vertAnchor="text"/>
        <w:tblW w:w="10164" w:type="dxa"/>
        <w:jc w:val="center"/>
        <w:tblInd w:w="0" w:type="dxa"/>
        <w:tblBorders>
          <w:top w:val="single" w:sz="12" w:space="0" w:color="00000A"/>
          <w:left w:val="single" w:sz="12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4"/>
        <w:gridCol w:w="6379"/>
        <w:gridCol w:w="3241"/>
      </w:tblGrid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45.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Третман отпадног возила врши се уситњавањем: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46.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Пре тремана отпадног возила уситњавањем, из расклопљеног отпадног возила издвајају се делови које након уситњавања није могуће издвојити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Делимично                (1)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Не                               (0) 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47.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Лице које врши третман отпадних возила обезбеђује одлагање отпада који се не може прерадити: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                                (2)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48.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Одлагање отпада који се не може прерадити врши се уз претходну сагласност надлежног органа: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Не                                 (0)  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49.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Отпаци и остаци отпадних возила, након третмана, одлажу се у складу са законом којим се уређује управљање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отпадом и прописом којим се уређује депоновање отпада: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   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Не    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w w:val="90"/>
          <w:sz w:val="24"/>
          <w:szCs w:val="24"/>
          <w:lang w:val="sr-RS"/>
        </w:rPr>
      </w:pPr>
      <w:r>
        <w:rPr>
          <w:rFonts w:ascii="Times New Roman" w:hAnsi="Times New Roman"/>
          <w:b/>
          <w:w w:val="90"/>
          <w:sz w:val="24"/>
          <w:szCs w:val="24"/>
          <w:lang w:val="sr-RS"/>
        </w:rPr>
        <w:t>РЕЗУЛТАТ НАДЗОРА У БОДОВИМА</w:t>
      </w:r>
      <w:r>
        <w:rPr>
          <w:rFonts w:ascii="Times New Roman" w:hAnsi="Times New Roman"/>
          <w:w w:val="90"/>
          <w:sz w:val="24"/>
          <w:szCs w:val="24"/>
          <w:lang w:val="sr-RS"/>
        </w:rPr>
        <w:t>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w w:val="90"/>
          <w:sz w:val="24"/>
          <w:szCs w:val="24"/>
          <w:lang w:val="sr-RS"/>
        </w:rPr>
      </w:pPr>
      <w:r>
        <w:rPr>
          <w:rFonts w:ascii="Times New Roman" w:hAnsi="Times New Roman"/>
          <w:w w:val="90"/>
          <w:sz w:val="24"/>
          <w:szCs w:val="24"/>
          <w:lang w:val="sr-RS"/>
        </w:rPr>
      </w:r>
    </w:p>
    <w:tbl>
      <w:tblPr>
        <w:tblW w:w="727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7"/>
        <w:gridCol w:w="1841"/>
        <w:gridCol w:w="1841"/>
      </w:tblGrid>
      <w:tr>
        <w:trPr>
          <w:trHeight w:val="233" w:hRule="atLeast"/>
        </w:trPr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RS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RS"/>
              </w:rPr>
              <w:t>Тачка 1-24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RS"/>
              </w:rPr>
              <w:t>Тачке 1-49</w:t>
            </w:r>
          </w:p>
        </w:tc>
      </w:tr>
      <w:tr>
        <w:trPr>
          <w:trHeight w:val="232" w:hRule="atLeast"/>
        </w:trPr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RS"/>
              </w:rPr>
              <w:t>Укупан могући број бодова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RS"/>
              </w:rPr>
              <w:t>58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RS"/>
              </w:rPr>
              <w:t>110</w:t>
            </w:r>
          </w:p>
        </w:tc>
      </w:tr>
      <w:tr>
        <w:trPr>
          <w:trHeight w:val="418" w:hRule="atLeast"/>
        </w:trPr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RS"/>
              </w:rPr>
              <w:t>утврђени број бодова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aps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RS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aps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w w:val="90"/>
          <w:lang w:val="sr-RS"/>
        </w:rPr>
      </w:pPr>
      <w:r>
        <w:rPr>
          <w:rFonts w:ascii="Times New Roman" w:hAnsi="Times New Roman"/>
          <w:w w:val="90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w w:val="90"/>
          <w:sz w:val="10"/>
          <w:lang w:val="sr-RS"/>
        </w:rPr>
      </w:pPr>
      <w:r>
        <w:rPr>
          <w:rFonts w:ascii="Times New Roman" w:hAnsi="Times New Roman"/>
          <w:w w:val="90"/>
          <w:sz w:val="10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w w:val="90"/>
          <w:sz w:val="10"/>
          <w:lang w:val="sr-RS"/>
        </w:rPr>
      </w:pPr>
      <w:r>
        <w:rPr>
          <w:rFonts w:ascii="Times New Roman" w:hAnsi="Times New Roman"/>
          <w:w w:val="90"/>
          <w:sz w:val="10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w w:val="90"/>
          <w:sz w:val="10"/>
          <w:lang w:val="sr-RS"/>
        </w:rPr>
      </w:pPr>
      <w:r>
        <w:rPr>
          <w:rFonts w:ascii="Times New Roman" w:hAnsi="Times New Roman"/>
          <w:w w:val="90"/>
          <w:sz w:val="10"/>
          <w:lang w:val="sr-RS"/>
        </w:rPr>
      </w:r>
    </w:p>
    <w:tbl>
      <w:tblPr>
        <w:tblW w:w="991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01"/>
        <w:gridCol w:w="1529"/>
        <w:gridCol w:w="1"/>
        <w:gridCol w:w="1493"/>
        <w:gridCol w:w="1"/>
        <w:gridCol w:w="1349"/>
        <w:gridCol w:w="1"/>
        <w:gridCol w:w="1439"/>
        <w:gridCol w:w="1"/>
        <w:gridCol w:w="1396"/>
      </w:tblGrid>
      <w:tr>
        <w:trPr>
          <w:trHeight w:val="328" w:hRule="atLeast"/>
        </w:trPr>
        <w:tc>
          <w:tcPr>
            <w:tcW w:w="4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Степен ризика</w:t>
            </w:r>
          </w:p>
        </w:tc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Низак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Средњи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Висок</w:t>
            </w:r>
          </w:p>
        </w:tc>
        <w:tc>
          <w:tcPr>
            <w:tcW w:w="1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Критичан</w:t>
            </w:r>
          </w:p>
        </w:tc>
      </w:tr>
      <w:tr>
        <w:trPr>
          <w:trHeight w:val="328" w:hRule="atLeast"/>
        </w:trPr>
        <w:tc>
          <w:tcPr>
            <w:tcW w:w="2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Број бодова</w:t>
            </w:r>
          </w:p>
        </w:tc>
        <w:tc>
          <w:tcPr>
            <w:tcW w:w="1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right="0" w:hanging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RS"/>
              </w:rPr>
              <w:t>Тачка 1-24</w:t>
            </w:r>
          </w:p>
        </w:tc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>53-58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>47-52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right="0" w:hanging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>38-46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 xml:space="preserve">≥ </w:t>
            </w:r>
            <w:r>
              <w:rPr>
                <w:rFonts w:ascii="Times New Roman" w:hAnsi="Times New Roman"/>
                <w:w w:val="90"/>
                <w:lang w:val="sr-RS"/>
              </w:rPr>
              <w:t>37</w:t>
            </w:r>
          </w:p>
        </w:tc>
      </w:tr>
      <w:tr>
        <w:trPr>
          <w:trHeight w:val="458" w:hRule="atLeast"/>
        </w:trPr>
        <w:tc>
          <w:tcPr>
            <w:tcW w:w="2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</w:r>
          </w:p>
        </w:tc>
        <w:tc>
          <w:tcPr>
            <w:tcW w:w="1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RS"/>
              </w:rPr>
              <w:t>Тачк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RS"/>
              </w:rPr>
              <w:t xml:space="preserve"> 1-49</w:t>
            </w:r>
          </w:p>
        </w:tc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>100 - 110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>89 -99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>71-88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>≥</w:t>
            </w:r>
            <w:r>
              <w:rPr>
                <w:rFonts w:ascii="Times New Roman" w:hAnsi="Times New Roman"/>
                <w:w w:val="90"/>
                <w:lang w:val="sr-RS"/>
              </w:rPr>
              <w:t>70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tbl>
      <w:tblPr>
        <w:tblW w:w="1024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9"/>
        <w:gridCol w:w="1801"/>
        <w:gridCol w:w="3086"/>
      </w:tblGrid>
      <w:tr>
        <w:trPr>
          <w:trHeight w:val="278" w:hRule="atLeast"/>
        </w:trPr>
        <w:tc>
          <w:tcPr>
            <w:tcW w:w="5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24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низак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" w:name="__Fieldmark__3098_1586997156"/>
            <w:bookmarkStart w:id="3" w:name="__Fieldmark__1161_1921995107"/>
            <w:bookmarkStart w:id="4" w:name="__Fieldmark__3098_1586997156"/>
            <w:bookmarkStart w:id="5" w:name="__Fieldmark__3098_1586997156"/>
            <w:bookmarkEnd w:id="3"/>
            <w:bookmarkEnd w:id="5"/>
            <w:r>
              <w:rPr/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5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24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средњи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3107_1586997156"/>
            <w:bookmarkStart w:id="7" w:name="__Fieldmark__1165_1921995107"/>
            <w:bookmarkStart w:id="8" w:name="__Fieldmark__3107_1586997156"/>
            <w:bookmarkStart w:id="9" w:name="__Fieldmark__3107_1586997156"/>
            <w:bookmarkEnd w:id="7"/>
            <w:bookmarkEnd w:id="9"/>
            <w:r>
              <w:rPr/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5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24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висок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" w:name="__Fieldmark__3116_1586997156"/>
            <w:bookmarkStart w:id="11" w:name="__Fieldmark__1169_1921995107"/>
            <w:bookmarkStart w:id="12" w:name="__Fieldmark__3116_1586997156"/>
            <w:bookmarkStart w:id="13" w:name="__Fieldmark__3116_1586997156"/>
            <w:bookmarkEnd w:id="11"/>
            <w:bookmarkEnd w:id="13"/>
            <w:r>
              <w:rPr/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5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24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критичан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" w:name="__Fieldmark__3125_1586997156"/>
            <w:bookmarkStart w:id="15" w:name="__Fieldmark__1173_1921995107"/>
            <w:bookmarkStart w:id="16" w:name="__Fieldmark__3125_1586997156"/>
            <w:bookmarkStart w:id="17" w:name="__Fieldmark__3125_1586997156"/>
            <w:bookmarkEnd w:id="15"/>
            <w:bookmarkEnd w:id="17"/>
            <w:r>
              <w:rPr/>
            </w:r>
            <w:r>
              <w:fldChar w:fldCharType="end"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tbl>
      <w:tblPr>
        <w:tblW w:w="10206" w:type="dxa"/>
        <w:jc w:val="left"/>
        <w:tblInd w:w="-474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5"/>
        <w:gridCol w:w="3539"/>
        <w:gridCol w:w="3402"/>
      </w:tblGrid>
      <w:tr>
        <w:trPr/>
        <w:tc>
          <w:tcPr>
            <w:tcW w:w="680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83" w:type="dxa"/>
            </w:tcMar>
            <w:vAlign w:val="cente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R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редставници</w:t>
            </w:r>
            <w:r>
              <w:rPr>
                <w:rFonts w:ascii="Times New Roman" w:hAnsi="Times New Roman"/>
                <w:bCs/>
                <w:sz w:val="24"/>
                <w:szCs w:val="24"/>
                <w:lang w:val="sr-RS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Инспектори за заштиту животне средине</w:t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Име и презиме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: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Име и презиме</w:t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1.</w:t>
            </w:r>
          </w:p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 xml:space="preserve">2. </w:t>
            </w:r>
          </w:p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2.</w:t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 xml:space="preserve">3. </w:t>
            </w:r>
          </w:p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3.</w:t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RS" w:eastAsia="de-DE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RS" w:eastAsia="de-DE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</w:tr>
      <w:tr>
        <w:trPr/>
        <w:tc>
          <w:tcPr>
            <w:tcW w:w="102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Датум:</w:t>
            </w:r>
          </w:p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ebdings">
    <w:charset w:val="00"/>
    <w:family w:val="roman"/>
    <w:pitch w:val="variable"/>
  </w:font>
  <w:font w:name="Wingding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30" w:type="dxa"/>
      <w:jc w:val="left"/>
      <w:tblInd w:w="-613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88"/>
      <w:gridCol w:w="6842"/>
      <w:gridCol w:w="2700"/>
    </w:tblGrid>
    <w:tr>
      <w:trPr>
        <w:trHeight w:val="1088" w:hRule="atLeast"/>
      </w:trPr>
      <w:tc>
        <w:tcPr>
          <w:tcW w:w="988" w:type="dxa"/>
          <w:tcBorders/>
          <w:shd w:color="auto" w:fill="auto" w:val="clea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right="0" w:hanging="0"/>
            <w:rPr>
              <w:rFonts w:ascii="Times New Roman" w:hAnsi="Times New Roman" w:eastAsia="Times New Roman"/>
              <w:lang w:val="en-US"/>
            </w:rPr>
          </w:pPr>
          <w:r>
            <w:rPr/>
          </w:r>
        </w:p>
      </w:tc>
      <w:tc>
        <w:tcPr>
          <w:tcW w:w="6842" w:type="dxa"/>
          <w:tcBorders/>
          <w:shd w:color="auto"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rPr/>
          </w:pPr>
          <w:r>
            <w:rPr>
              <w:rFonts w:eastAsia="Times New Roman" w:cs="Times New Roman" w:ascii="Times New Roman" w:hAnsi="Times New Roman"/>
              <w:sz w:val="24"/>
              <w:szCs w:val="24"/>
              <w:lang w:val="sr-RS"/>
            </w:rPr>
            <w:t xml:space="preserve">Град </w:t>
          </w:r>
          <w:r>
            <w:rPr>
              <w:rFonts w:eastAsia="Times New Roman" w:cs="Times New Roman" w:ascii="Times New Roman" w:hAnsi="Times New Roman"/>
              <w:sz w:val="24"/>
              <w:szCs w:val="24"/>
              <w:lang w:val="sr-CS"/>
            </w:rPr>
            <w:t>Панчево</w:t>
          </w:r>
        </w:p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rPr>
              <w:rFonts w:ascii="Times New Roman" w:hAnsi="Times New Roman" w:eastAsia="Times New Roman" w:cs="Times New Roman"/>
              <w:sz w:val="24"/>
              <w:szCs w:val="24"/>
              <w:lang w:val="sr-RS"/>
            </w:rPr>
          </w:pPr>
          <w:r>
            <w:rPr>
              <w:rFonts w:eastAsia="Times New Roman" w:cs="Times New Roman" w:ascii="Times New Roman" w:hAnsi="Times New Roman"/>
              <w:sz w:val="24"/>
              <w:szCs w:val="24"/>
              <w:lang w:val="sr-RS"/>
            </w:rPr>
            <w:t xml:space="preserve">Градска управа 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b w:val="false"/>
              <w:b w:val="false"/>
              <w:bCs w:val="false"/>
              <w:sz w:val="24"/>
              <w:szCs w:val="24"/>
              <w:lang w:val="sr-CS"/>
            </w:rPr>
          </w:pPr>
          <w:r>
            <w:rPr>
              <w:rFonts w:cs="Times New Roman" w:ascii="Times New Roman" w:hAnsi="Times New Roman"/>
              <w:b w:val="false"/>
              <w:bCs w:val="false"/>
              <w:sz w:val="24"/>
              <w:szCs w:val="24"/>
              <w:lang w:val="sr-CS"/>
            </w:rPr>
            <w:t>Секретаријат за инспекцијске послове</w:t>
          </w:r>
        </w:p>
        <w:p>
          <w:pPr>
            <w:pStyle w:val="Normal"/>
            <w:spacing w:lineRule="auto" w:line="240" w:before="0" w:after="0"/>
            <w:rPr/>
          </w:pPr>
          <w:r>
            <w:rPr>
              <w:rFonts w:eastAsia="Times New Roman" w:cs="Times New Roman" w:ascii="Times New Roman" w:hAnsi="Times New Roman"/>
              <w:b w:val="false"/>
              <w:bCs w:val="false"/>
              <w:sz w:val="24"/>
              <w:szCs w:val="24"/>
              <w:lang w:val="sr-CS"/>
            </w:rPr>
            <w:t>Одељење за друге инспекцијске послове</w:t>
          </w:r>
          <w:r>
            <w:rPr>
              <w:rFonts w:eastAsia="Times New Roman" w:cs="Times New Roman" w:ascii="Times New Roman" w:hAnsi="Times New Roman"/>
              <w:b/>
              <w:sz w:val="24"/>
              <w:szCs w:val="24"/>
              <w:lang w:val="ru-RU"/>
            </w:rPr>
            <w:t xml:space="preserve">  </w:t>
          </w:r>
          <w:r>
            <w:rPr>
              <w:rFonts w:eastAsia="Times New Roman" w:ascii="Times New Roman" w:hAnsi="Times New Roman"/>
              <w:b/>
              <w:sz w:val="24"/>
              <w:szCs w:val="24"/>
              <w:lang w:val="ru-RU"/>
            </w:rPr>
            <w:t xml:space="preserve"> </w:t>
          </w:r>
        </w:p>
      </w:tc>
      <w:tc>
        <w:tcPr>
          <w:tcW w:w="2700" w:type="dxa"/>
          <w:tcBorders/>
          <w:shd w:color="auto"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Times New Roman" w:hAnsi="Times New Roman" w:eastAsia="Times New Roman"/>
              <w:lang w:val="sr-RS"/>
            </w:rPr>
          </w:pPr>
          <w:r>
            <w:rPr>
              <w:rFonts w:eastAsia="Times New Roman" w:ascii="Times New Roman" w:hAnsi="Times New Roman"/>
              <w:sz w:val="20"/>
              <w:szCs w:val="20"/>
              <w:lang w:val="sr-CS"/>
            </w:rPr>
            <w:t xml:space="preserve">       </w:t>
          </w:r>
          <w:r>
            <w:rPr>
              <w:rFonts w:eastAsia="Times New Roman" w:ascii="Times New Roman" w:hAnsi="Times New Roman"/>
              <w:sz w:val="20"/>
              <w:szCs w:val="20"/>
              <w:lang w:val="sr-CS"/>
            </w:rPr>
            <w:t>Ознака: КЛ ОТП 10</w:t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r-Latn-R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91d6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85d0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85d01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85d01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985d0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85d0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85d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LibreOffice/5.0.6.3$Windows_x86 LibreOffice_project/490fc03b25318460cfc54456516ea2519c11d1aa</Application>
  <Paragraphs>407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2015-11-03T07:16:00Z</dcterms:created>
  <dc:creator>Momir Boljanic</dc:creator>
  <dc:language>sr-Latn-CS</dc:language>
  <dcterms:modified xsi:type="dcterms:W3CDTF">2017-02-01T11:08:01Z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